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9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运城市教育局创建国家食品安全示范城市</w:t>
      </w:r>
    </w:p>
    <w:p>
      <w:pPr>
        <w:shd w:val="clear" w:color="auto" w:fill="FFFFFF"/>
        <w:adjustRightInd w:val="0"/>
        <w:snapToGrid w:val="0"/>
        <w:spacing w:line="59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sz w:val="44"/>
          <w:szCs w:val="44"/>
        </w:rPr>
        <w:t>2020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年度工作情况报告</w:t>
      </w:r>
    </w:p>
    <w:p>
      <w:pPr>
        <w:spacing w:line="460" w:lineRule="exact"/>
        <w:jc w:val="center"/>
        <w:rPr>
          <w:rFonts w:hint="eastAsia" w:eastAsia="楷体_GB2312"/>
          <w:szCs w:val="21"/>
        </w:rPr>
      </w:pPr>
    </w:p>
    <w:p>
      <w:pPr>
        <w:spacing w:line="460" w:lineRule="exact"/>
        <w:jc w:val="center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运城市教育局</w:t>
      </w:r>
    </w:p>
    <w:p>
      <w:pPr>
        <w:pStyle w:val="2"/>
        <w:spacing w:beforeAutospacing="0" w:line="460" w:lineRule="exact"/>
        <w:ind w:left="420" w:firstLine="420"/>
      </w:pP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自创建国家食品安全示范城工作开展以来，我局高度重视学校食品安全工作，按照《运城市创建国家食品安全示范城市目标任务落实暨2020年食品安全重点工作安排》《运城市深化改革加强食品安全工作行动方案》的要求，把学校食品安全纳入教育系统“三零”单位创建工作内容，认真贯彻《学校食品安全与营养健康管理规定》，扎实开展校园食品安全守护行动，深入推进创建国家食品安全示范城工作，全力确保校园食品安全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一是加强组织领导，建立食品安全岗位责任体系。</w:t>
      </w:r>
      <w:r>
        <w:rPr>
          <w:rFonts w:hint="eastAsia"/>
          <w:szCs w:val="21"/>
          <w:shd w:val="clear" w:color="auto" w:fill="FFFFFF"/>
          <w:lang w:bidi="ar"/>
        </w:rPr>
        <w:t>全市教育系统牢固树立大安全观和一盘棋思想，严格落实“党政同责、一岗双责”，成立了学校安全工作领导小组，把食品安全作为一把手工程，设置食品安全管理机构，明确责任分工，坚持每季度分析研判校园食品安全形势，及时研究处置；制定了《运城市教育局2020年学校安全工作要点》《关于在全市学校开展校园食品安全守护行动的通知》等计划方案，明确目标任务，细化管理措施；依照《山西省中小学校（幼儿园）岗位安全工作指导手册》，构建全面明晰的学校岗位安全职责体系，明确学校39个岗位的安全具体职责，逐岗逐人层层签订责任书；建立了《中小学（幼儿园）校长陪餐制度管理办法》，集中力量解决师生及家长反映强烈的问题，切实落实校长第一责任人的责任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二是加强食品安全教育培训，树牢食品安全意识。</w:t>
      </w:r>
      <w:r>
        <w:rPr>
          <w:rFonts w:hint="eastAsia"/>
          <w:szCs w:val="21"/>
          <w:shd w:val="clear" w:color="auto" w:fill="FFFFFF"/>
          <w:lang w:bidi="ar"/>
        </w:rPr>
        <w:t>坚持每两周一课时的安全教育制度，把食品安全教育纳入学校安全教育的重要内容，落实落地落细；建立了运城市学校安全教育平台，积极开展食品安全专题教育活动，全市584356名学生、589202名学生家长在线参加教育，食品安全教育覆盖率达100%；积极开展食品安全宣传周活动，全市共开展宣传活动2502次，组织培训讲座276场次，制作展板3916块，悬挂标语横幅4千余条，发放宣传资料42万余份，有效提高了师生、家长和食堂从业人员的食品安全意识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三是加大隐患排查整治力度，扎实开展食品安全守护行动。</w:t>
      </w:r>
      <w:r>
        <w:rPr>
          <w:rFonts w:hint="eastAsia"/>
          <w:szCs w:val="21"/>
          <w:shd w:val="clear" w:color="auto" w:fill="FFFFFF"/>
          <w:lang w:bidi="ar"/>
        </w:rPr>
        <w:t>制定下发了《关于开展学校及周边餐饮安全集中检查的通知》《关于学校食品安全整治工作实施方案》《关于开展校园食品安全专项整治的通知》等一系列文件，先后4次与市市场监督管理局联合开展学校食品安全大排查大整治活动。加强从原料采购到食品寄售全过程监管，对米面油等大宗食品实行公开招标、集中定点采购，严把冷链食品采购关，强化源头管控。特别是在疫情复学复课、秋季开学期间，采取市、县教育部门领导带队、逐校验收的方式，对全市1736所学校（幼儿园）食堂食品安全进行了地毯式检查，整治隐患3000余条，从源头上确保校园食品健康安全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四是加强安全信息化建设，提升学校食品安全管理水平。</w:t>
      </w:r>
      <w:r>
        <w:rPr>
          <w:rFonts w:hint="eastAsia"/>
          <w:szCs w:val="21"/>
          <w:shd w:val="clear" w:color="auto" w:fill="FFFFFF"/>
          <w:lang w:bidi="ar"/>
        </w:rPr>
        <w:t>持续加大学校食品安全信息化管理建设力度，全市1736所学校全部完成“明厨亮灶”工程，其中198家学校食堂实现了“明厨亮灶+互联网”，26家学校食堂建立了食品安全快检室，全面提升校园食堂管理水平。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五是强化属地管理，扎实做好贫困地区学生营养改善工作。</w:t>
      </w:r>
      <w:r>
        <w:rPr>
          <w:rFonts w:hint="eastAsia"/>
          <w:szCs w:val="21"/>
          <w:shd w:val="clear" w:color="auto" w:fill="FFFFFF"/>
          <w:lang w:bidi="ar"/>
        </w:rPr>
        <w:t>认真落实农村义务教育学生营养改善计划，督促贫困县农村义务教育学校食堂（伙房）坚持“公益性、非营利性”原则，严格落实学校自办自管，县市统一公开招标、集中定点采购，实施粮油等大宗食品及原辅材料采购配送“三统一”，即统一采购、统一分配、统一运送，确保采购质量；严格实名制信息管理和双月报工作，定期公布资金明细账目、原材料采购、配餐标准、带量食谱及用餐学生名单等信息，主动接受媒体和社会监督，确保营养改善计划安全实施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尽管我们在校园食品安全管理方面做了大量工作，但距离创建国家食品安全示范城的工作标准还有一定差距。一是一些学校食堂基础设施设备较差，功能间混杂，村镇学校尤为突出。二是部分学校食堂安全管理人员专业能力不高、管理粗放、责任落实存在漏洞。三是部分寄宿制学校在抓校园食品安全苗头预防上办法不多，手段不硬。还需要我们联合相关部门进一步督导落实整改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下一步，我局将严格履行校园食品安全领域主管责任和学校主体责任，确保校园食品安全和师生健康。一是进一步提高政治站位。以师生满意为标尺，以师生饮食健康为标准，深化思想认识，提高政治敏锐性，增强行动自觉，不折不扣落实省市食品安全工作部署，坚决守护师生舌尖上的安全。二是进一步加强教育培训。11月28日我们对全市400余名学校食堂安全管理人员进行了教育培训，随后各县（市、区）将对辖区内学校食堂管理人员进行全员再培训、再教育、再提高，进一步提升法规意识和管理能力。三是持续开展专项整治。通过校园食堂食品安全专项整治行动常态化，不</w:t>
      </w:r>
      <w:r>
        <w:rPr>
          <w:rFonts w:hint="eastAsia"/>
          <w:spacing w:val="-1"/>
          <w:szCs w:val="21"/>
          <w:shd w:val="clear" w:color="auto" w:fill="FFFFFF"/>
          <w:lang w:bidi="ar"/>
        </w:rPr>
        <w:t>断强化隐患排查整治，积极创建师生满意的放心食堂。四是全面推进“明厨亮灶”信息化建设。2021年底前通过将视频信息接入学校或教育部门网页、APP以及第三方监管平台等方式，全部实现“互联网+明厨亮灶”。五是建立完善责任保险制度。进一步推进所有学校、配送单位以及为学校服务的餐饮企业主动购买食品安全责任保险，化解安全风险，为校园食品安全再增加一道“防火墙</w:t>
      </w:r>
      <w:r>
        <w:rPr>
          <w:rFonts w:hint="eastAsia"/>
          <w:szCs w:val="21"/>
          <w:shd w:val="clear" w:color="auto" w:fill="FFFFFF"/>
          <w:lang w:bidi="ar"/>
        </w:rPr>
        <w:t>”。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安全责任大于天，校园食品安全永远在路上。今后，我局将一如既往虚心接受市人大的监督和建议，在市人大各位领导、委员的关心、支持和监督下，严格依法行政、依法治校，落实“四个最严”，持续加大校园食品安全管理整治，建立健全校园食品安全长效监管机制，切实保障广大师生饮食安全，努力使学校成为全社会最安全、最稳定、最放心的场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8863"/>
    <w:multiLevelType w:val="multilevel"/>
    <w:tmpl w:val="4FA68863"/>
    <w:lvl w:ilvl="0" w:tentative="0">
      <w:start w:val="3"/>
      <w:numFmt w:val="decimal"/>
      <w:pStyle w:val="5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6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7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8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9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10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1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2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3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1FC7"/>
    <w:rsid w:val="00971B87"/>
    <w:rsid w:val="021E20D1"/>
    <w:rsid w:val="03A94F1C"/>
    <w:rsid w:val="04C47C0D"/>
    <w:rsid w:val="04D326BC"/>
    <w:rsid w:val="057234E8"/>
    <w:rsid w:val="06A77CEE"/>
    <w:rsid w:val="08E50921"/>
    <w:rsid w:val="0A0776F4"/>
    <w:rsid w:val="0B647EB1"/>
    <w:rsid w:val="10393E08"/>
    <w:rsid w:val="105A510E"/>
    <w:rsid w:val="139A192C"/>
    <w:rsid w:val="180F089A"/>
    <w:rsid w:val="1DC57820"/>
    <w:rsid w:val="1FB00F87"/>
    <w:rsid w:val="20AE1586"/>
    <w:rsid w:val="22D07703"/>
    <w:rsid w:val="22DF0FB1"/>
    <w:rsid w:val="24B51989"/>
    <w:rsid w:val="25550502"/>
    <w:rsid w:val="25D96AD8"/>
    <w:rsid w:val="25E11F03"/>
    <w:rsid w:val="2BBA41F4"/>
    <w:rsid w:val="2BF17627"/>
    <w:rsid w:val="2BFA7EEF"/>
    <w:rsid w:val="2E560B88"/>
    <w:rsid w:val="2F237945"/>
    <w:rsid w:val="2FF94368"/>
    <w:rsid w:val="30A73A29"/>
    <w:rsid w:val="31B335F4"/>
    <w:rsid w:val="36BB70F7"/>
    <w:rsid w:val="390966A3"/>
    <w:rsid w:val="3CC2769E"/>
    <w:rsid w:val="3D200DCC"/>
    <w:rsid w:val="3FEC1FDD"/>
    <w:rsid w:val="40C42305"/>
    <w:rsid w:val="425A278D"/>
    <w:rsid w:val="43A543A4"/>
    <w:rsid w:val="43D035B0"/>
    <w:rsid w:val="44B4596B"/>
    <w:rsid w:val="450357D7"/>
    <w:rsid w:val="45DF47AF"/>
    <w:rsid w:val="47F505CE"/>
    <w:rsid w:val="49286FB1"/>
    <w:rsid w:val="4A705355"/>
    <w:rsid w:val="4BD05373"/>
    <w:rsid w:val="4BF52310"/>
    <w:rsid w:val="4EE97529"/>
    <w:rsid w:val="5055791D"/>
    <w:rsid w:val="507A04AD"/>
    <w:rsid w:val="54FA4774"/>
    <w:rsid w:val="5663442C"/>
    <w:rsid w:val="59F94B43"/>
    <w:rsid w:val="5AD2187C"/>
    <w:rsid w:val="5C246BA0"/>
    <w:rsid w:val="5E817910"/>
    <w:rsid w:val="5ECE60C2"/>
    <w:rsid w:val="602B21BA"/>
    <w:rsid w:val="603515EA"/>
    <w:rsid w:val="63983127"/>
    <w:rsid w:val="65773B8C"/>
    <w:rsid w:val="65DF47B3"/>
    <w:rsid w:val="66473DF9"/>
    <w:rsid w:val="687248C4"/>
    <w:rsid w:val="68C866A0"/>
    <w:rsid w:val="6A701521"/>
    <w:rsid w:val="6BA67E1D"/>
    <w:rsid w:val="6CC35EBF"/>
    <w:rsid w:val="6D4C3053"/>
    <w:rsid w:val="6E4F0A37"/>
    <w:rsid w:val="701A0B27"/>
    <w:rsid w:val="71501FC7"/>
    <w:rsid w:val="71B94527"/>
    <w:rsid w:val="71E23F4F"/>
    <w:rsid w:val="74F1593B"/>
    <w:rsid w:val="75904E50"/>
    <w:rsid w:val="79C34B6B"/>
    <w:rsid w:val="7D0A06E0"/>
    <w:rsid w:val="7DB975FF"/>
    <w:rsid w:val="7E0B4C88"/>
    <w:rsid w:val="7E471D5A"/>
    <w:rsid w:val="7EEB3611"/>
    <w:rsid w:val="7F1E6724"/>
    <w:rsid w:val="7F3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Lines="0" w:beforeAutospacing="0" w:after="240" w:afterLines="0" w:afterAutospacing="0" w:line="480" w:lineRule="auto"/>
      <w:ind w:left="432" w:hanging="432"/>
      <w:jc w:val="left"/>
      <w:outlineLvl w:val="0"/>
    </w:pPr>
    <w:rPr>
      <w:rFonts w:ascii="宋体" w:hAnsi="宋体"/>
      <w:b/>
      <w:kern w:val="44"/>
      <w:sz w:val="32"/>
      <w:szCs w:val="28"/>
    </w:rPr>
  </w:style>
  <w:style w:type="paragraph" w:styleId="6">
    <w:name w:val="heading 2"/>
    <w:basedOn w:val="1"/>
    <w:next w:val="1"/>
    <w:link w:val="22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="240" w:afterLines="0" w:afterAutospacing="0" w:line="360" w:lineRule="auto"/>
      <w:ind w:left="575" w:hanging="575"/>
      <w:jc w:val="left"/>
      <w:outlineLvl w:val="1"/>
    </w:pPr>
    <w:rPr>
      <w:rFonts w:ascii="Arial" w:hAnsi="Arial"/>
      <w:b/>
      <w:sz w:val="30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="240" w:afterLines="0" w:afterAutospacing="0" w:line="360" w:lineRule="auto"/>
      <w:ind w:left="720" w:hanging="720"/>
      <w:jc w:val="left"/>
      <w:outlineLvl w:val="2"/>
    </w:pPr>
    <w:rPr>
      <w:rFonts w:ascii="宋体" w:hAnsi="宋体"/>
      <w:b/>
      <w:sz w:val="28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40" w:beforeLines="0" w:beforeAutospacing="0" w:after="220" w:afterLines="0" w:afterAutospacing="0" w:line="372" w:lineRule="auto"/>
      <w:ind w:left="864" w:hanging="864"/>
      <w:outlineLvl w:val="3"/>
    </w:pPr>
    <w:rPr>
      <w:rFonts w:ascii="Arial" w:hAnsi="Arial" w:eastAsia="宋体"/>
      <w:b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10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2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spacing w:beforeAutospacing="1"/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7">
    <w:name w:val="标题 1 Char"/>
    <w:link w:val="5"/>
    <w:qFormat/>
    <w:uiPriority w:val="0"/>
    <w:rPr>
      <w:rFonts w:ascii="宋体" w:hAnsi="宋体" w:eastAsia="华文中宋" w:cs="Times New Roman"/>
      <w:b/>
      <w:kern w:val="44"/>
      <w:sz w:val="32"/>
      <w:szCs w:val="28"/>
      <w:lang w:val="en-US" w:bidi="ar-SA"/>
    </w:rPr>
  </w:style>
  <w:style w:type="paragraph" w:customStyle="1" w:styleId="18">
    <w:name w:val="样式1"/>
    <w:qFormat/>
    <w:uiPriority w:val="0"/>
    <w:pPr>
      <w:spacing w:line="360" w:lineRule="auto"/>
      <w:jc w:val="center"/>
    </w:pPr>
    <w:rPr>
      <w:rFonts w:ascii="Calibri" w:hAnsi="Calibri" w:eastAsia="宋体" w:cstheme="minorBidi"/>
      <w:b/>
      <w:sz w:val="32"/>
    </w:rPr>
  </w:style>
  <w:style w:type="paragraph" w:customStyle="1" w:styleId="19">
    <w:name w:val="样式2"/>
    <w:basedOn w:val="18"/>
    <w:next w:val="1"/>
    <w:link w:val="20"/>
    <w:qFormat/>
    <w:uiPriority w:val="0"/>
    <w:pPr>
      <w:spacing w:after="50" w:afterLines="50" w:line="360" w:lineRule="auto"/>
    </w:pPr>
    <w:rPr>
      <w:rFonts w:ascii="宋体" w:hAnsi="宋体" w:eastAsia="宋体" w:cs="宋体"/>
      <w:sz w:val="28"/>
      <w:szCs w:val="28"/>
    </w:rPr>
  </w:style>
  <w:style w:type="character" w:customStyle="1" w:styleId="20">
    <w:name w:val="样式2 Char"/>
    <w:link w:val="19"/>
    <w:qFormat/>
    <w:uiPriority w:val="0"/>
    <w:rPr>
      <w:rFonts w:ascii="宋体" w:hAnsi="宋体" w:eastAsia="宋体" w:cs="宋体"/>
      <w:sz w:val="28"/>
      <w:szCs w:val="28"/>
    </w:rPr>
  </w:style>
  <w:style w:type="paragraph" w:customStyle="1" w:styleId="21">
    <w:name w:val="样式3"/>
    <w:next w:val="1"/>
    <w:qFormat/>
    <w:uiPriority w:val="0"/>
    <w:rPr>
      <w:rFonts w:ascii="宋体" w:hAnsi="宋体" w:eastAsia="宋体" w:cs="宋体"/>
      <w:b/>
      <w:sz w:val="21"/>
      <w:szCs w:val="21"/>
    </w:rPr>
  </w:style>
  <w:style w:type="character" w:customStyle="1" w:styleId="22">
    <w:name w:val="标题 2 Char"/>
    <w:link w:val="6"/>
    <w:qFormat/>
    <w:uiPriority w:val="0"/>
    <w:rPr>
      <w:rFonts w:ascii="Arial" w:hAnsi="Arial" w:eastAsia="华文中宋" w:cs="Times New Roman"/>
      <w:b/>
      <w:kern w:val="2"/>
      <w:sz w:val="30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2021-02-21T00:56:00Z</dcterms:created>
  <dc:creator>晓</dc:creator>
  <cp:lastModifiedBy>晓</cp:lastModifiedBy>
  <dcterms:modified xsi:type="dcterms:W3CDTF">2021-02-21T00:57:20Z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